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D7CBF" w:rsidP="00DF0733">
            <w:pPr>
              <w:jc w:val="center"/>
              <w:rPr>
                <w:rFonts w:ascii="Arial" w:hAnsi="Arial" w:cs="Arial"/>
                <w:lang w:val="en-GB"/>
              </w:rPr>
            </w:pPr>
            <w:r w:rsidRPr="008D7CBF">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POL100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4C0060"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2010</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4C0060" w:rsidP="00DF0733">
            <w:pPr>
              <w:rPr>
                <w:rFonts w:ascii="Arial" w:hAnsi="Arial" w:cs="Arial"/>
                <w:sz w:val="22"/>
                <w:szCs w:val="22"/>
              </w:rPr>
            </w:pPr>
            <w:r>
              <w:rPr>
                <w:rFonts w:ascii="Arial" w:hAnsi="Arial" w:cs="Arial"/>
                <w:sz w:val="22"/>
                <w:szCs w:val="22"/>
              </w:rPr>
              <w:t>Jan</w:t>
            </w:r>
            <w:r w:rsidR="005A67BE">
              <w:rPr>
                <w:rFonts w:ascii="Arial" w:hAnsi="Arial" w:cs="Arial"/>
                <w:sz w:val="22"/>
                <w:szCs w:val="22"/>
              </w:rPr>
              <w:t>. 20</w:t>
            </w:r>
            <w:r>
              <w:rPr>
                <w:rFonts w:ascii="Arial" w:hAnsi="Arial" w:cs="Arial"/>
                <w:sz w:val="22"/>
                <w:szCs w:val="22"/>
              </w:rPr>
              <w:t>10</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352052" w:rsidP="00DF0733">
            <w:pPr>
              <w:jc w:val="center"/>
              <w:rPr>
                <w:rFonts w:ascii="Arial" w:hAnsi="Arial" w:cs="Arial"/>
                <w:sz w:val="24"/>
                <w:szCs w:val="24"/>
              </w:rPr>
            </w:pPr>
            <w:r>
              <w:rPr>
                <w:rFonts w:cs="Arial"/>
                <w:sz w:val="24"/>
              </w:rPr>
              <w:t>“Angelique Lemay”</w:t>
            </w:r>
          </w:p>
        </w:tc>
        <w:tc>
          <w:tcPr>
            <w:tcW w:w="1440" w:type="dxa"/>
          </w:tcPr>
          <w:p w:rsidR="00B02659" w:rsidRPr="00E8683D" w:rsidRDefault="00352052" w:rsidP="00DF0733">
            <w:pPr>
              <w:rPr>
                <w:rFonts w:ascii="Arial" w:hAnsi="Arial" w:cs="Arial"/>
                <w:sz w:val="24"/>
                <w:szCs w:val="24"/>
              </w:rPr>
            </w:pPr>
            <w:r>
              <w:rPr>
                <w:rFonts w:cs="Arial"/>
                <w:sz w:val="24"/>
              </w:rPr>
              <w:t>Jul. 2010</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©2010</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pPr>
        <w:numPr>
          <w:ilvl w:val="0"/>
          <w:numId w:val="6"/>
        </w:numPr>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 4th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 to Canadian Government (</w:t>
      </w:r>
      <w:proofErr w:type="spellStart"/>
      <w:r w:rsidR="00F8450A">
        <w:rPr>
          <w:rFonts w:ascii="Arial" w:hAnsi="Arial"/>
          <w:sz w:val="22"/>
        </w:rPr>
        <w:t>POL</w:t>
      </w:r>
      <w:proofErr w:type="spellEnd"/>
      <w:r w:rsidR="00F8450A">
        <w:rPr>
          <w:rFonts w:ascii="Arial" w:hAnsi="Arial"/>
          <w:sz w:val="22"/>
        </w:rPr>
        <w:t xml:space="preserve"> 100-2)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rPr>
      </w:pPr>
    </w:p>
    <w:p w:rsidR="00F27AD0" w:rsidRDefault="00F27AD0">
      <w:pPr>
        <w:pStyle w:val="EnvelopeReturn"/>
        <w:tabs>
          <w:tab w:val="left" w:pos="720"/>
        </w:tabs>
        <w:rPr>
          <w:bCs/>
        </w:rPr>
      </w:pPr>
    </w:p>
    <w:tbl>
      <w:tblPr>
        <w:tblW w:w="9378" w:type="dxa"/>
        <w:tblLayout w:type="fixed"/>
        <w:tblLook w:val="0000"/>
      </w:tblPr>
      <w:tblGrid>
        <w:gridCol w:w="675"/>
        <w:gridCol w:w="8703"/>
      </w:tblGrid>
      <w:tr w:rsidR="00CF1582" w:rsidTr="00E7377A">
        <w:trPr>
          <w:cantSplit/>
        </w:trPr>
        <w:tc>
          <w:tcPr>
            <w:tcW w:w="675" w:type="dxa"/>
          </w:tcPr>
          <w:p w:rsidR="00CF1582" w:rsidRDefault="00CF1582">
            <w:pPr>
              <w:rPr>
                <w:rFonts w:ascii="Arial" w:hAnsi="Arial" w:cs="Arial"/>
                <w:b/>
                <w:sz w:val="22"/>
              </w:rPr>
            </w:pPr>
            <w:r>
              <w:rPr>
                <w:rFonts w:ascii="Arial" w:hAnsi="Arial" w:cs="Arial"/>
                <w:b/>
                <w:sz w:val="22"/>
              </w:rPr>
              <w:t>VII.</w:t>
            </w:r>
          </w:p>
        </w:tc>
        <w:tc>
          <w:tcPr>
            <w:tcW w:w="8703" w:type="dxa"/>
          </w:tcPr>
          <w:p w:rsidR="00CF1582" w:rsidRDefault="00CF1582">
            <w:pPr>
              <w:rPr>
                <w:rFonts w:ascii="Arial" w:hAnsi="Arial" w:cs="Arial"/>
                <w:b/>
                <w:sz w:val="22"/>
              </w:rPr>
            </w:pPr>
            <w:r>
              <w:rPr>
                <w:rFonts w:ascii="Arial" w:hAnsi="Arial" w:cs="Arial"/>
                <w:b/>
                <w:sz w:val="22"/>
              </w:rPr>
              <w:t>SPECIAL NOTES:</w:t>
            </w:r>
          </w:p>
          <w:p w:rsidR="00F27AD0" w:rsidRDefault="00F27AD0" w:rsidP="00F27AD0">
            <w:pPr>
              <w:rPr>
                <w:rFonts w:ascii="Arial" w:hAnsi="Arial"/>
                <w:sz w:val="22"/>
                <w:szCs w:val="22"/>
                <w:u w:val="single"/>
              </w:rPr>
            </w:pPr>
          </w:p>
          <w:p w:rsidR="00F27AD0" w:rsidRPr="00CB687C" w:rsidRDefault="00F27AD0" w:rsidP="00F27AD0">
            <w:pPr>
              <w:rPr>
                <w:rFonts w:ascii="Arial" w:hAnsi="Arial"/>
                <w:sz w:val="22"/>
                <w:szCs w:val="22"/>
                <w:u w:val="single"/>
              </w:rPr>
            </w:pPr>
            <w:r w:rsidRPr="00CB687C">
              <w:rPr>
                <w:rFonts w:ascii="Arial" w:hAnsi="Arial"/>
                <w:sz w:val="22"/>
                <w:szCs w:val="22"/>
                <w:u w:val="single"/>
              </w:rPr>
              <w:t>Attendance:</w:t>
            </w:r>
          </w:p>
          <w:p w:rsidR="00F27AD0" w:rsidRDefault="00F27AD0" w:rsidP="00F27AD0">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F1582" w:rsidRDefault="00CF1582">
            <w:pPr>
              <w:rPr>
                <w:rFonts w:ascii="Arial" w:hAnsi="Arial" w:cs="Arial"/>
                <w:sz w:val="22"/>
              </w:rPr>
            </w:pPr>
          </w:p>
        </w:tc>
      </w:tr>
    </w:tbl>
    <w:p w:rsidR="00F27AD0" w:rsidRDefault="00F27AD0">
      <w:pPr>
        <w:pStyle w:val="EnvelopeReturn"/>
        <w:tabs>
          <w:tab w:val="left" w:pos="720"/>
        </w:tabs>
        <w:rPr>
          <w:rFonts w:cs="Arial"/>
          <w:bCs/>
        </w:rPr>
      </w:pPr>
    </w:p>
    <w:p w:rsidR="00F27AD0" w:rsidRDefault="00F27AD0">
      <w:pPr>
        <w:pStyle w:val="EnvelopeReturn"/>
        <w:tabs>
          <w:tab w:val="left" w:pos="720"/>
        </w:tabs>
        <w:rPr>
          <w:rFonts w:cs="Arial"/>
          <w:bCs/>
        </w:rPr>
      </w:pPr>
    </w:p>
    <w:tbl>
      <w:tblPr>
        <w:tblW w:w="9288" w:type="dxa"/>
        <w:tblLayout w:type="fixed"/>
        <w:tblLook w:val="0000"/>
      </w:tblPr>
      <w:tblGrid>
        <w:gridCol w:w="675"/>
        <w:gridCol w:w="8613"/>
      </w:tblGrid>
      <w:tr w:rsidR="00F27AD0" w:rsidRPr="001F503D" w:rsidTr="00F27AD0">
        <w:trPr>
          <w:cantSplit/>
        </w:trPr>
        <w:tc>
          <w:tcPr>
            <w:tcW w:w="675" w:type="dxa"/>
          </w:tcPr>
          <w:p w:rsidR="00F27AD0" w:rsidRPr="001F503D" w:rsidRDefault="00F27AD0" w:rsidP="000E1496">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613" w:type="dxa"/>
          </w:tcPr>
          <w:p w:rsidR="00F27AD0" w:rsidRDefault="00F27AD0" w:rsidP="000E1496">
            <w:pPr>
              <w:rPr>
                <w:rFonts w:ascii="Arial" w:hAnsi="Arial"/>
                <w:b/>
              </w:rPr>
            </w:pPr>
            <w:r>
              <w:rPr>
                <w:rFonts w:ascii="Arial" w:hAnsi="Arial"/>
                <w:b/>
              </w:rPr>
              <w:t xml:space="preserve">COURSE OUTLINE </w:t>
            </w:r>
            <w:r w:rsidRPr="001F503D">
              <w:rPr>
                <w:rFonts w:ascii="Arial" w:hAnsi="Arial"/>
                <w:b/>
              </w:rPr>
              <w:t>ADDENDUM:</w:t>
            </w:r>
          </w:p>
          <w:p w:rsidR="00F27AD0" w:rsidRPr="001F503D" w:rsidRDefault="00F27AD0" w:rsidP="000E1496">
            <w:pPr>
              <w:rPr>
                <w:rFonts w:ascii="Arial" w:hAnsi="Arial"/>
                <w:b/>
              </w:rPr>
            </w:pPr>
          </w:p>
        </w:tc>
      </w:tr>
      <w:tr w:rsidR="00F27AD0" w:rsidRPr="001F503D" w:rsidTr="00F27AD0">
        <w:trPr>
          <w:cantSplit/>
        </w:trPr>
        <w:tc>
          <w:tcPr>
            <w:tcW w:w="675" w:type="dxa"/>
          </w:tcPr>
          <w:p w:rsidR="00F27AD0" w:rsidRDefault="00F27AD0" w:rsidP="000E1496">
            <w:pPr>
              <w:rPr>
                <w:rFonts w:ascii="Arial" w:hAnsi="Arial"/>
              </w:rPr>
            </w:pPr>
          </w:p>
        </w:tc>
        <w:tc>
          <w:tcPr>
            <w:tcW w:w="8613" w:type="dxa"/>
          </w:tcPr>
          <w:p w:rsidR="00F27AD0" w:rsidRPr="001F503D" w:rsidRDefault="00F27AD0" w:rsidP="000E1496">
            <w:pPr>
              <w:rPr>
                <w:rFonts w:ascii="Arial" w:hAnsi="Arial"/>
              </w:rPr>
            </w:pPr>
            <w:r w:rsidRPr="0018701F">
              <w:rPr>
                <w:rFonts w:ascii="Arial" w:hAnsi="Arial"/>
                <w:sz w:val="22"/>
                <w:szCs w:val="22"/>
              </w:rPr>
              <w:t xml:space="preserve">The provisions contained in the addendum are located on the student portal.  Students are responsible for becoming familiar with this information.  Go to </w:t>
            </w:r>
            <w:hyperlink r:id="rId8" w:history="1">
              <w:r w:rsidRPr="0018701F">
                <w:rPr>
                  <w:rStyle w:val="Hyperlink"/>
                  <w:rFonts w:ascii="Arial" w:hAnsi="Arial"/>
                  <w:sz w:val="22"/>
                  <w:szCs w:val="22"/>
                </w:rPr>
                <w:t>https://mysaultcollege.ca</w:t>
              </w:r>
            </w:hyperlink>
          </w:p>
        </w:tc>
      </w:tr>
    </w:tbl>
    <w:p w:rsidR="00F27AD0" w:rsidRDefault="00F27AD0">
      <w:pPr>
        <w:pStyle w:val="EnvelopeReturn"/>
        <w:tabs>
          <w:tab w:val="left" w:pos="720"/>
        </w:tabs>
        <w:rPr>
          <w:rFonts w:cs="Arial"/>
          <w:bCs/>
        </w:rPr>
      </w:pPr>
    </w:p>
    <w:sectPr w:rsidR="00F27AD0" w:rsidSect="00E7377A">
      <w:headerReference w:type="default" r:id="rId9"/>
      <w:pgSz w:w="12240" w:h="15840"/>
      <w:pgMar w:top="144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EC" w:rsidRDefault="00B266EC">
      <w:r>
        <w:separator/>
      </w:r>
    </w:p>
  </w:endnote>
  <w:endnote w:type="continuationSeparator" w:id="0">
    <w:p w:rsidR="00B266EC" w:rsidRDefault="00B2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EC" w:rsidRDefault="00B266EC">
      <w:r>
        <w:separator/>
      </w:r>
    </w:p>
  </w:footnote>
  <w:footnote w:type="continuationSeparator" w:id="0">
    <w:p w:rsidR="00B266EC" w:rsidRDefault="00B2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C" w:rsidRPr="00F27AD0" w:rsidRDefault="00F27AD0" w:rsidP="00F27AD0">
    <w:pPr>
      <w:pStyle w:val="Header"/>
      <w:tabs>
        <w:tab w:val="clear" w:pos="4320"/>
        <w:tab w:val="center" w:pos="5130"/>
      </w:tabs>
      <w:rPr>
        <w:rFonts w:ascii="Arial" w:hAnsi="Arial" w:cs="Arial"/>
        <w:b/>
        <w:sz w:val="22"/>
        <w:szCs w:val="22"/>
        <w:lang w:val="en-CA"/>
      </w:rPr>
    </w:pPr>
    <w:r w:rsidRPr="00F27AD0">
      <w:rPr>
        <w:rFonts w:ascii="Arial" w:hAnsi="Arial" w:cs="Arial"/>
        <w:b/>
        <w:sz w:val="22"/>
        <w:szCs w:val="22"/>
        <w:lang w:val="en-CA"/>
      </w:rPr>
      <w:t>Introduction to Canadian Governme</w:t>
    </w:r>
    <w:r>
      <w:rPr>
        <w:rFonts w:ascii="Arial" w:hAnsi="Arial" w:cs="Arial"/>
        <w:b/>
        <w:sz w:val="22"/>
        <w:szCs w:val="22"/>
        <w:lang w:val="en-CA"/>
      </w:rPr>
      <w:t>n</w:t>
    </w:r>
    <w:r w:rsidRPr="00F27AD0">
      <w:rPr>
        <w:rFonts w:ascii="Arial" w:hAnsi="Arial" w:cs="Arial"/>
        <w:b/>
        <w:sz w:val="22"/>
        <w:szCs w:val="22"/>
        <w:lang w:val="en-CA"/>
      </w:rPr>
      <w:t>t</w:t>
    </w:r>
    <w:r w:rsidRPr="00F27AD0">
      <w:rPr>
        <w:rFonts w:ascii="Arial" w:hAnsi="Arial" w:cs="Arial"/>
        <w:b/>
        <w:sz w:val="22"/>
        <w:szCs w:val="22"/>
        <w:lang w:val="en-CA"/>
      </w:rPr>
      <w:tab/>
    </w:r>
    <w:r w:rsidR="0020286B" w:rsidRPr="00F27AD0">
      <w:rPr>
        <w:rFonts w:ascii="Arial" w:hAnsi="Arial" w:cs="Arial"/>
        <w:b/>
        <w:sz w:val="22"/>
        <w:szCs w:val="22"/>
        <w:lang w:val="en-CA"/>
      </w:rPr>
      <w:fldChar w:fldCharType="begin"/>
    </w:r>
    <w:r w:rsidRPr="00F27AD0">
      <w:rPr>
        <w:rFonts w:ascii="Arial" w:hAnsi="Arial" w:cs="Arial"/>
        <w:b/>
        <w:sz w:val="22"/>
        <w:szCs w:val="22"/>
        <w:lang w:val="en-CA"/>
      </w:rPr>
      <w:instrText xml:space="preserve"> PAGE   \* MERGEFORMAT </w:instrText>
    </w:r>
    <w:r w:rsidR="0020286B" w:rsidRPr="00F27AD0">
      <w:rPr>
        <w:rFonts w:ascii="Arial" w:hAnsi="Arial" w:cs="Arial"/>
        <w:b/>
        <w:sz w:val="22"/>
        <w:szCs w:val="22"/>
        <w:lang w:val="en-CA"/>
      </w:rPr>
      <w:fldChar w:fldCharType="separate"/>
    </w:r>
    <w:r w:rsidR="00352052">
      <w:rPr>
        <w:rFonts w:ascii="Arial" w:hAnsi="Arial" w:cs="Arial"/>
        <w:b/>
        <w:noProof/>
        <w:sz w:val="22"/>
        <w:szCs w:val="22"/>
        <w:lang w:val="en-CA"/>
      </w:rPr>
      <w:t>5</w:t>
    </w:r>
    <w:r w:rsidR="0020286B" w:rsidRPr="00F27AD0">
      <w:rPr>
        <w:rFonts w:ascii="Arial" w:hAnsi="Arial" w:cs="Arial"/>
        <w:b/>
        <w:sz w:val="22"/>
        <w:szCs w:val="22"/>
        <w:lang w:val="en-CA"/>
      </w:rPr>
      <w:fldChar w:fldCharType="end"/>
    </w:r>
    <w:r w:rsidRPr="00F27AD0">
      <w:rPr>
        <w:rFonts w:ascii="Arial" w:hAnsi="Arial" w:cs="Arial"/>
        <w:b/>
        <w:sz w:val="22"/>
        <w:szCs w:val="22"/>
        <w:lang w:val="en-CA"/>
      </w:rPr>
      <w:tab/>
      <w:t>POL100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50B81"/>
    <w:rsid w:val="000853F7"/>
    <w:rsid w:val="000A5CC0"/>
    <w:rsid w:val="001717CB"/>
    <w:rsid w:val="0018701F"/>
    <w:rsid w:val="001D4EF8"/>
    <w:rsid w:val="001E36AD"/>
    <w:rsid w:val="0020286B"/>
    <w:rsid w:val="00202C22"/>
    <w:rsid w:val="00227617"/>
    <w:rsid w:val="0029237A"/>
    <w:rsid w:val="002C11E5"/>
    <w:rsid w:val="002D12A9"/>
    <w:rsid w:val="002D3176"/>
    <w:rsid w:val="00315833"/>
    <w:rsid w:val="00325384"/>
    <w:rsid w:val="003265F1"/>
    <w:rsid w:val="00352052"/>
    <w:rsid w:val="003743C6"/>
    <w:rsid w:val="003958C9"/>
    <w:rsid w:val="003C60BF"/>
    <w:rsid w:val="004276CC"/>
    <w:rsid w:val="00432957"/>
    <w:rsid w:val="004A5D87"/>
    <w:rsid w:val="004C0060"/>
    <w:rsid w:val="00514E53"/>
    <w:rsid w:val="005164E5"/>
    <w:rsid w:val="005175B4"/>
    <w:rsid w:val="005447A7"/>
    <w:rsid w:val="0054730E"/>
    <w:rsid w:val="00550269"/>
    <w:rsid w:val="00591BDE"/>
    <w:rsid w:val="005A67BE"/>
    <w:rsid w:val="005D4588"/>
    <w:rsid w:val="005F4204"/>
    <w:rsid w:val="006013A4"/>
    <w:rsid w:val="0061165E"/>
    <w:rsid w:val="006759A5"/>
    <w:rsid w:val="006A0546"/>
    <w:rsid w:val="006B79AC"/>
    <w:rsid w:val="007514C6"/>
    <w:rsid w:val="00753EE8"/>
    <w:rsid w:val="00757F61"/>
    <w:rsid w:val="00790A45"/>
    <w:rsid w:val="007A3436"/>
    <w:rsid w:val="00857505"/>
    <w:rsid w:val="008C09AF"/>
    <w:rsid w:val="008C3B8E"/>
    <w:rsid w:val="008D7CBF"/>
    <w:rsid w:val="008F58B0"/>
    <w:rsid w:val="0092420D"/>
    <w:rsid w:val="00935414"/>
    <w:rsid w:val="00956805"/>
    <w:rsid w:val="009B01D7"/>
    <w:rsid w:val="009C4C5E"/>
    <w:rsid w:val="009E32E9"/>
    <w:rsid w:val="00A019AB"/>
    <w:rsid w:val="00A04317"/>
    <w:rsid w:val="00A250AD"/>
    <w:rsid w:val="00A73E61"/>
    <w:rsid w:val="00A77FDD"/>
    <w:rsid w:val="00A82098"/>
    <w:rsid w:val="00AB5273"/>
    <w:rsid w:val="00B02659"/>
    <w:rsid w:val="00B22C7B"/>
    <w:rsid w:val="00B266EC"/>
    <w:rsid w:val="00BB3353"/>
    <w:rsid w:val="00C52BC1"/>
    <w:rsid w:val="00C6490C"/>
    <w:rsid w:val="00C80A12"/>
    <w:rsid w:val="00C87061"/>
    <w:rsid w:val="00CC381A"/>
    <w:rsid w:val="00CD29B4"/>
    <w:rsid w:val="00CF1582"/>
    <w:rsid w:val="00D00DA4"/>
    <w:rsid w:val="00D142BF"/>
    <w:rsid w:val="00D46BA2"/>
    <w:rsid w:val="00D50452"/>
    <w:rsid w:val="00D9381E"/>
    <w:rsid w:val="00DE0098"/>
    <w:rsid w:val="00DE5BBB"/>
    <w:rsid w:val="00DF0733"/>
    <w:rsid w:val="00E10889"/>
    <w:rsid w:val="00E6551E"/>
    <w:rsid w:val="00E7377A"/>
    <w:rsid w:val="00EA0408"/>
    <w:rsid w:val="00EE1E47"/>
    <w:rsid w:val="00F27AD0"/>
    <w:rsid w:val="00F43F23"/>
    <w:rsid w:val="00F52EC5"/>
    <w:rsid w:val="00F55648"/>
    <w:rsid w:val="00F8450A"/>
    <w:rsid w:val="00F94ED5"/>
    <w:rsid w:val="00F97F5F"/>
    <w:rsid w:val="00FB3E9B"/>
    <w:rsid w:val="00FC081C"/>
    <w:rsid w:val="00FC37A9"/>
    <w:rsid w:val="00FE30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DBE96-6201-4D62-8321-46676F250035}"/>
</file>

<file path=customXml/itemProps2.xml><?xml version="1.0" encoding="utf-8"?>
<ds:datastoreItem xmlns:ds="http://schemas.openxmlformats.org/officeDocument/2006/customXml" ds:itemID="{629E09FA-06E0-450B-896D-1346758C7D31}"/>
</file>

<file path=customXml/itemProps3.xml><?xml version="1.0" encoding="utf-8"?>
<ds:datastoreItem xmlns:ds="http://schemas.openxmlformats.org/officeDocument/2006/customXml" ds:itemID="{9B58BA5D-75C7-464E-80DE-190A6559CF3C}"/>
</file>

<file path=docProps/app.xml><?xml version="1.0" encoding="utf-8"?>
<Properties xmlns="http://schemas.openxmlformats.org/officeDocument/2006/extended-properties" xmlns:vt="http://schemas.openxmlformats.org/officeDocument/2006/docPropsVTypes">
  <Template>Normal.dotm</Template>
  <TotalTime>14</TotalTime>
  <Pages>5</Pages>
  <Words>1149</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10</cp:revision>
  <cp:lastPrinted>2010-11-19T17:45:00Z</cp:lastPrinted>
  <dcterms:created xsi:type="dcterms:W3CDTF">2010-05-19T18:49:00Z</dcterms:created>
  <dcterms:modified xsi:type="dcterms:W3CDTF">2010-11-19T17:48:00Z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11140200</vt:r8>
  </property>
</Properties>
</file>